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10"/>
          <w:szCs w:val="10"/>
        </w:rPr>
      </w:pPr>
      <w:r>
        <w:rPr>
          <w:b/>
          <w:sz w:val="72"/>
          <w:szCs w:val="72"/>
          <w:rtl w:val="0"/>
        </w:rPr>
        <w:t xml:space="preserve">FICHE ACTION VNE N°8</w:t>
      </w:r>
      <w:r>
        <w:rPr>
          <w:rtl w:val="0"/>
        </w:rPr>
      </w:r>
      <w:r>
        <w:rPr>
          <w:b/>
          <w:sz w:val="10"/>
          <w:szCs w:val="10"/>
        </w:rPr>
      </w:r>
    </w:p>
    <w:tbl>
      <w:tblPr>
        <w:tblStyle w:val="691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510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5700" cy="605700"/>
                      <wp:effectExtent l="0" t="0" r="0" b="0"/>
                      <wp:docPr id="1" name="image1.png" descr="balance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png" descr="balance.pn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5700" cy="6057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7.69pt;height:47.69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2" name="image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jpg"/>
                              <pic:cNvPicPr/>
                              <pic:nvPr/>
                            </pic:nvPicPr>
                            <pic:blipFill>
                              <a:blip r:embed="rId10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42.52pt;height:42.52pt;mso-wrap-distance-left:0.00pt;mso-wrap-distance-top:0.00pt;mso-wrap-distance-right:0.00pt;mso-wrap-distance-bottom:0.00pt;z-index:1;">
                      <v:imagedata r:id="rId10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rtl w:val="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f1c40f"/>
              </w:rPr>
            </w:pPr>
            <w:r>
              <w:rPr>
                <w:shd w:val="clear" w:color="auto" w:fill="f1c40f"/>
                <w:rtl w:val="0"/>
              </w:rPr>
              <w:t xml:space="preserve">AXE III</w:t>
            </w:r>
            <w:r>
              <w:rPr>
                <w:shd w:val="clear" w:color="auto" w:fill="f1c40f"/>
              </w:rPr>
            </w:r>
          </w:p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b497d6"/>
              </w:rPr>
            </w:pPr>
            <w:r>
              <w:rPr>
                <w:shd w:val="clear" w:color="auto" w:fill="b497d6"/>
                <w:rtl w:val="0"/>
              </w:rPr>
              <w:t xml:space="preserve">AXE IV</w:t>
            </w:r>
            <w:r>
              <w:rPr>
                <w:shd w:val="clear" w:color="auto" w:fill="b497d6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Entre les mains de la CAF ; Non validée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Mettre en place une conférence de financeurs institutionnels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Pilotage VNE (CD83 ; Préfecture ; CAF)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MSA, France Travail, CPAM, France Travail, etc.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CONTRIBUTEURS/ACTEURS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La demande majeure ressortie dans les rencontres avec les acteurs du territoire est le besoin de financement, notamment pour les conseillers numériques pour qui le financement de l’Etat s’amenuise voire disparaît.</w:t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La CAF, à travers son appel à projet “Inclusion Numérique” a déjà mis en place une articulation entre financeurs qui pourrait être un levier facilitateur pour l’organisation d’une Conférence des financeurs institutionnels.</w:t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La Conférence des Financeurs de l’Inclusion Numérique (CFIN) servira à :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    • Recenser les financeurs, leurs offres et enveloppes, 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    • Réduire les multiples financements pour une même action en développant une complémentarité au fil des ans (en fonction des possibilités et orientation politique de chacun) 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    • Faciliter l’accès à un financement cohérent pour l’ensemble des porteurs de projets. 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RÉPONSE À DEMANDE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FNE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SÉNAT</w:t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5 : Passer d'une logique de services publics 100 % dématérialisés à u</w:t>
            </w:r>
            <w:r>
              <w:rPr>
                <w:rtl w:val="0"/>
              </w:rPr>
              <w:t xml:space="preserve">ne logique de services publics 100 % accessibles .</w:t>
              <w:br/>
              <w:t xml:space="preserve">Proposition n° 6 : Conserver la faculté d'un accès physique ou un accueil téléphonique aux services publics, en nombre suffisant, et pour l'ensemble des démarches dématérialisées.</w:t>
              <w:br/>
              <w:t xml:space="preserve">Proposition n° 14 : Créer</w:t>
            </w:r>
            <w:r>
              <w:rPr>
                <w:rtl w:val="0"/>
              </w:rPr>
              <w:t xml:space="preserve"> un fonds de lutte contre l'exclusion numérique pour atteindre un milliard d'euros de soutien public, mobilisable d'ici 2022. Pérenniser, au-delà de cette date, les moyens de la lutte contre l'illectronisme, politique ayant vocation à devenir structurelle.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23 : Créer des conférences des financeurs , à l'échelle départementale, pour coordonner les interventions territoriales - publiques et privées - et permettre le déploiement du pass numérique dans l'ensemble des territoires.</w:t>
            </w:r>
            <w:r/>
          </w:p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32 : Englober les opérateurs sociaux dans la coordination de la politique d'inclusion numérique. Y systématiser le recours au pass numérique.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COMMISSION</w:t>
            </w:r>
            <w:r>
              <w:rPr>
                <w:rtl w:val="0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6 : Privilégier la création de commissions territoriales de l'inclusion numérique, pour coordonner les interventions territoria</w:t>
            </w:r>
            <w:r>
              <w:rPr>
                <w:rtl w:val="0"/>
              </w:rPr>
              <w:t xml:space="preserve">les des acteurs publics, privés et associatifs et mieux articuler les financements.</w:t>
              <w:br/>
              <w:t xml:space="preserve">Proposition n° 17 : Pérenniser le financement par l'État des conseillers numériques France Services au moins jusqu'en 2025 et revoir leur nombre à la hausse, si nécessaire.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pBdr/>
              <w:spacing w:after="0" w:afterAutospacing="0" w:before="240"/>
              <w:ind w:hanging="360" w:left="720"/>
              <w:rPr>
                <w:rFonts w:ascii="Arial" w:hAnsi="Arial" w:eastAsia="Arial" w:cs="Arial"/>
              </w:rPr>
            </w:pPr>
            <w:r>
              <w:rPr>
                <w:rtl w:val="0"/>
              </w:rPr>
              <w:t xml:space="preserve">Mettre </w:t>
              <w:tab/>
              <w:t xml:space="preserve">autour de la table et inciter à la coordination des acteurs qui </w:t>
              <w:tab/>
              <w:t xml:space="preserve">financent des actions d’inclusion numérique </w:t>
              <w:tab/>
            </w:r>
            <w:r>
              <w:rPr>
                <w:rFonts w:ascii="Arial" w:hAnsi="Arial" w:eastAsia="Arial" w:cs="Arial"/>
              </w:rPr>
            </w:r>
          </w:p>
          <w:p>
            <w:pPr>
              <w:numPr>
                <w:ilvl w:val="0"/>
                <w:numId w:val="8"/>
              </w:numPr>
              <w:pBdr/>
              <w:spacing w:after="0" w:afterAutospacing="0" w:before="0" w:beforeAutospacing="0"/>
              <w:ind w:hanging="360" w:left="720"/>
              <w:rPr>
                <w:rFonts w:ascii="Arial" w:hAnsi="Arial" w:eastAsia="Arial" w:cs="Arial"/>
              </w:rPr>
            </w:pPr>
            <w:r>
              <w:rPr>
                <w:rtl w:val="0"/>
              </w:rPr>
              <w:t xml:space="preserve">Assurer la transmission des informations permettant les mesures d’impact </w:t>
              <w:tab/>
              <w:t xml:space="preserve">et le partage des aap et de leur décision </w:t>
              <w:tab/>
            </w:r>
            <w:r>
              <w:rPr>
                <w:rFonts w:ascii="Arial" w:hAnsi="Arial" w:eastAsia="Arial" w:cs="Arial"/>
              </w:rPr>
            </w:r>
          </w:p>
          <w:p>
            <w:pPr>
              <w:numPr>
                <w:ilvl w:val="0"/>
                <w:numId w:val="8"/>
              </w:numPr>
              <w:pBdr/>
              <w:spacing w:after="240" w:before="0" w:beforeAutospacing="0"/>
              <w:ind w:hanging="360" w:left="720"/>
              <w:rPr>
                <w:rFonts w:ascii="Arial" w:hAnsi="Arial" w:eastAsia="Arial" w:cs="Arial"/>
              </w:rPr>
            </w:pPr>
            <w:r>
              <w:rPr>
                <w:rtl w:val="0"/>
              </w:rPr>
              <w:t xml:space="preserve">Identifier et prendre contact avec les acteurs non financeur mais pouvant faire </w:t>
              <w:tab/>
              <w:t xml:space="preserve">partie de cette conférence des financeurs institutionnels pour les y inclure</w:t>
            </w:r>
            <w:r>
              <w:rPr>
                <w:rFonts w:ascii="Arial" w:hAnsi="Arial" w:eastAsia="Arial" w:cs="Arial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Cette action vise à favoriser une meilleure coordination des financements de l’inclusion numérique tout en facilitant l’accès pour les structures associatives des territoires carencés. 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La CAF est le porteur principal de cette action et, si ce choix est fait, fournira les outils nécessaires au bon fonctionnement de cette conférence.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Identifier les acteurs</w:t>
            </w:r>
            <w:r>
              <w:rPr>
                <w:u w:val="none"/>
              </w:rPr>
            </w:r>
          </w:p>
          <w:p>
            <w:pPr>
              <w:numPr>
                <w:ilvl w:val="1"/>
                <w:numId w:val="3"/>
              </w:numPr>
              <w:pBdr/>
              <w:spacing w:after="0" w:before="0" w:line="240" w:lineRule="auto"/>
              <w:ind w:hanging="360" w:left="1440"/>
              <w:rPr>
                <w:u w:val="none"/>
              </w:rPr>
            </w:pPr>
            <w:r>
              <w:rPr>
                <w:rtl w:val="0"/>
              </w:rPr>
              <w:t xml:space="preserve">Ceux qui financent des actions d’inclusion numérique</w:t>
            </w:r>
            <w:r>
              <w:rPr>
                <w:u w:val="none"/>
              </w:rPr>
            </w:r>
          </w:p>
          <w:p>
            <w:pPr>
              <w:numPr>
                <w:ilvl w:val="1"/>
                <w:numId w:val="3"/>
              </w:numPr>
              <w:pBdr/>
              <w:spacing w:after="0" w:before="0" w:line="240" w:lineRule="auto"/>
              <w:ind w:hanging="360" w:left="1440"/>
              <w:rPr>
                <w:u w:val="none"/>
              </w:rPr>
            </w:pPr>
            <w:r>
              <w:rPr>
                <w:rtl w:val="0"/>
              </w:rPr>
              <w:t xml:space="preserve">Ceux qui ne financent pas d’actions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3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Prendre contact avec les acteurs financeurs pour établir, avec la CAF, le cadre de cette coopération public/public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3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Mettre en place cette conférence des financeurs </w:t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3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Mettre en place des réunions semestriel de coordination et de bilan</w:t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425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 DÉBUT: </w:t>
            </w:r>
            <w:r>
              <w:rPr>
                <w:rtl w:val="0"/>
              </w:rPr>
            </w:r>
            <w:r>
              <w:rPr>
                <w:sz w:val="24"/>
                <w:szCs w:val="24"/>
                <w:u w:val="none"/>
              </w:rPr>
            </w:r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         FIN : 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Acteurs institutionnels financeurs/potentiellement financeurs à l'échelle du Var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Meilleur coordination entre les financeurs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Identification de nouveaux financeurs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Plus de participation de petites associations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Facilitation de la mesure d’impact de ces financements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Facilitation de la gestion côté financeur</w:t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Autres agents (Prefecture/CD) pour répartition de la charge de travail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Evolution du nombre de financeurs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d’association soutenues financièrement / subventionnées 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“Niveau” des associations soutenues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personnes accompagnées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Niveau de financement total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S’appuyer sur la coordination IN mise en place par la CAF du var dans le cadre de son AAP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Identifier des conférences sur d’autres territoires pour s’en inspirer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PERSPECTIVES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Fusion avec fiche action 17 (tout ce qui est relatif aux AAP ou à des flux financiers passerait par là)</w:t>
              <w:br/>
              <w:t xml:space="preserve">Fiche action 11 dans la continuité de cette fiche action</w:t>
            </w:r>
            <w:r/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7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">
    <w:name w:val="Table Grid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4">
    <w:name w:val="Heading 7"/>
    <w:basedOn w:val="682"/>
    <w:next w:val="68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82"/>
    <w:next w:val="682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82"/>
    <w:next w:val="682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numbering" w:styleId="148" w:default="1">
    <w:name w:val="No List"/>
    <w:uiPriority w:val="99"/>
    <w:semiHidden/>
    <w:unhideWhenUsed/>
    <w:pPr>
      <w:pBdr/>
      <w:spacing/>
      <w:ind/>
    </w:pPr>
  </w:style>
  <w:style w:type="character" w:styleId="149">
    <w:name w:val="Heading 1 Char"/>
    <w:basedOn w:val="147"/>
    <w:link w:val="68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68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6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68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6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68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147"/>
    <w:link w:val="68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147"/>
    <w:link w:val="6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82"/>
    <w:next w:val="682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82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82"/>
    <w:next w:val="682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82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82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82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82"/>
    <w:next w:val="68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82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82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82"/>
    <w:next w:val="682"/>
    <w:uiPriority w:val="39"/>
    <w:unhideWhenUsed/>
    <w:pPr>
      <w:pBdr/>
      <w:spacing w:after="100"/>
      <w:ind/>
    </w:pPr>
  </w:style>
  <w:style w:type="paragraph" w:styleId="189">
    <w:name w:val="toc 2"/>
    <w:basedOn w:val="682"/>
    <w:next w:val="682"/>
    <w:uiPriority w:val="39"/>
    <w:unhideWhenUsed/>
    <w:pPr>
      <w:pBdr/>
      <w:spacing w:after="100"/>
      <w:ind w:left="220"/>
    </w:pPr>
  </w:style>
  <w:style w:type="paragraph" w:styleId="190">
    <w:name w:val="toc 3"/>
    <w:basedOn w:val="682"/>
    <w:next w:val="682"/>
    <w:uiPriority w:val="39"/>
    <w:unhideWhenUsed/>
    <w:pPr>
      <w:pBdr/>
      <w:spacing w:after="100"/>
      <w:ind w:left="440"/>
    </w:pPr>
  </w:style>
  <w:style w:type="paragraph" w:styleId="191">
    <w:name w:val="toc 4"/>
    <w:basedOn w:val="682"/>
    <w:next w:val="682"/>
    <w:uiPriority w:val="39"/>
    <w:unhideWhenUsed/>
    <w:pPr>
      <w:pBdr/>
      <w:spacing w:after="100"/>
      <w:ind w:left="660"/>
    </w:pPr>
  </w:style>
  <w:style w:type="paragraph" w:styleId="192">
    <w:name w:val="toc 5"/>
    <w:basedOn w:val="682"/>
    <w:next w:val="682"/>
    <w:uiPriority w:val="39"/>
    <w:unhideWhenUsed/>
    <w:pPr>
      <w:pBdr/>
      <w:spacing w:after="100"/>
      <w:ind w:left="880"/>
    </w:pPr>
  </w:style>
  <w:style w:type="paragraph" w:styleId="193">
    <w:name w:val="toc 6"/>
    <w:basedOn w:val="682"/>
    <w:next w:val="682"/>
    <w:uiPriority w:val="39"/>
    <w:unhideWhenUsed/>
    <w:pPr>
      <w:pBdr/>
      <w:spacing w:after="100"/>
      <w:ind w:left="1100"/>
    </w:pPr>
  </w:style>
  <w:style w:type="paragraph" w:styleId="194">
    <w:name w:val="toc 7"/>
    <w:basedOn w:val="682"/>
    <w:next w:val="682"/>
    <w:uiPriority w:val="39"/>
    <w:unhideWhenUsed/>
    <w:pPr>
      <w:pBdr/>
      <w:spacing w:after="100"/>
      <w:ind w:left="1320"/>
    </w:pPr>
  </w:style>
  <w:style w:type="paragraph" w:styleId="195">
    <w:name w:val="toc 8"/>
    <w:basedOn w:val="682"/>
    <w:next w:val="682"/>
    <w:uiPriority w:val="39"/>
    <w:unhideWhenUsed/>
    <w:pPr>
      <w:pBdr/>
      <w:spacing w:after="100"/>
      <w:ind w:left="1540"/>
    </w:pPr>
  </w:style>
  <w:style w:type="paragraph" w:styleId="196">
    <w:name w:val="toc 9"/>
    <w:basedOn w:val="682"/>
    <w:next w:val="682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82"/>
    <w:next w:val="682"/>
    <w:uiPriority w:val="99"/>
    <w:unhideWhenUsed/>
    <w:pPr>
      <w:pBdr/>
      <w:spacing w:after="0" w:afterAutospacing="0"/>
      <w:ind/>
    </w:pPr>
  </w:style>
  <w:style w:type="table" w:styleId="681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82" w:default="1">
    <w:name w:val="Normal"/>
    <w:pPr>
      <w:pBdr/>
      <w:spacing/>
      <w:ind/>
    </w:pPr>
  </w:style>
  <w:style w:type="paragraph" w:styleId="683">
    <w:name w:val="Heading 1"/>
    <w:basedOn w:val="682"/>
    <w:next w:val="682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684">
    <w:name w:val="Heading 2"/>
    <w:basedOn w:val="682"/>
    <w:next w:val="682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685">
    <w:name w:val="Heading 3"/>
    <w:basedOn w:val="682"/>
    <w:next w:val="682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686">
    <w:name w:val="Heading 4"/>
    <w:basedOn w:val="682"/>
    <w:next w:val="682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687">
    <w:name w:val="Heading 5"/>
    <w:basedOn w:val="682"/>
    <w:next w:val="682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688">
    <w:name w:val="Heading 6"/>
    <w:basedOn w:val="682"/>
    <w:next w:val="682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689">
    <w:name w:val="Title"/>
    <w:basedOn w:val="682"/>
    <w:next w:val="682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690">
    <w:name w:val="Subtitle"/>
    <w:basedOn w:val="682"/>
    <w:next w:val="682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691">
    <w:name w:val="StGen0"/>
    <w:basedOn w:val="681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